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A04A75">
        <w:rPr>
          <w:rFonts w:ascii="Times New Roman" w:hAnsi="Times New Roman"/>
          <w:b/>
          <w:i w:val="0"/>
          <w:sz w:val="21"/>
          <w:szCs w:val="21"/>
        </w:rPr>
        <w:t xml:space="preserve"> 08</w:t>
      </w:r>
      <w:r w:rsidR="006130EA">
        <w:rPr>
          <w:rFonts w:ascii="Times New Roman" w:hAnsi="Times New Roman"/>
          <w:b/>
          <w:i w:val="0"/>
          <w:sz w:val="21"/>
          <w:szCs w:val="21"/>
        </w:rPr>
        <w:t>4</w:t>
      </w:r>
      <w:r w:rsidR="00A04A75">
        <w:rPr>
          <w:rFonts w:ascii="Times New Roman" w:hAnsi="Times New Roman"/>
          <w:b/>
          <w:i w:val="0"/>
          <w:sz w:val="21"/>
          <w:szCs w:val="21"/>
        </w:rPr>
        <w:t>-2016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71519C" w:rsidRPr="0071519C">
        <w:rPr>
          <w:rFonts w:ascii="Times New Roman" w:hAnsi="Times New Roman"/>
          <w:b/>
          <w:i w:val="0"/>
          <w:sz w:val="21"/>
          <w:szCs w:val="21"/>
        </w:rPr>
        <w:t>AQUISIÇÃO DE MATERIAIS PARA CONSTRUÇÃO DE PONTE NA COMUNIDADE LINHA DO RIO NO MUNICÍPIO DE PORTO XAVIER</w:t>
      </w:r>
      <w:r w:rsidR="00A04A75">
        <w:rPr>
          <w:rFonts w:ascii="Times New Roman" w:hAnsi="Times New Roman"/>
          <w:b/>
          <w:i w:val="0"/>
          <w:sz w:val="21"/>
          <w:szCs w:val="21"/>
        </w:rPr>
        <w:t xml:space="preserve"> – PREGÃO PRESENCIAL 025-2016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0E3E89" w:rsidRPr="00944E89" w:rsidRDefault="000E3E89" w:rsidP="000E3E89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0E3E89" w:rsidRDefault="000E3E89" w:rsidP="000E3E89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A0EB8">
        <w:rPr>
          <w:rFonts w:ascii="Times New Roman" w:hAnsi="Times New Roman"/>
          <w:b w:val="0"/>
          <w:sz w:val="21"/>
          <w:szCs w:val="21"/>
        </w:rPr>
        <w:t>O</w:t>
      </w:r>
      <w:r w:rsidRPr="00AA0EB8">
        <w:rPr>
          <w:rFonts w:ascii="Times New Roman" w:hAnsi="Times New Roman"/>
          <w:sz w:val="21"/>
          <w:szCs w:val="21"/>
        </w:rPr>
        <w:t xml:space="preserve"> MUNICÍPIO DE PORTO XAVIER, </w:t>
      </w:r>
      <w:r w:rsidRPr="00AA0EB8">
        <w:rPr>
          <w:rFonts w:ascii="Times New Roman" w:hAnsi="Times New Roman"/>
          <w:b w:val="0"/>
          <w:sz w:val="21"/>
          <w:szCs w:val="21"/>
        </w:rPr>
        <w:t>pessoa jurídica de direito público interno, inscrita no CNPJ sob n° 87.613.667/0001-48, com sede na Rua Tiradentes, n° 540, neste ato representado por seu Prefeito Municipal Sr. Paulo Sommer, brasileiro, casado, portador da Carteira de Identidade n° 1013897564, CPF n° 195.073.050-68, residente e domiciliado na Rua Marechal Floriano Peixoto, nº 508, bairro Centro, no município de Porto Xavier – RS.</w:t>
      </w:r>
    </w:p>
    <w:p w:rsidR="000E3E89" w:rsidRDefault="000E3E89" w:rsidP="000E3E89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0E3E89" w:rsidRPr="003347C1" w:rsidRDefault="006130EA" w:rsidP="000E3E89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CALISTO STAUDT DILL ME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92.685.361/0001-37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Santa Tereza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300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Campina das Missões/RS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Calisto Staudt Dill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brasileiro, </w:t>
      </w:r>
      <w:r>
        <w:rPr>
          <w:rFonts w:ascii="Times New Roman" w:hAnsi="Times New Roman"/>
          <w:b w:val="0"/>
          <w:sz w:val="21"/>
          <w:szCs w:val="21"/>
        </w:rPr>
        <w:t>casado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empresário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9014708276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245.762.390-15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 xml:space="preserve">Rua Rosário, 660, bairro Centro, 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cidade de </w:t>
      </w:r>
      <w:r>
        <w:rPr>
          <w:rFonts w:ascii="Times New Roman" w:hAnsi="Times New Roman"/>
          <w:b w:val="0"/>
          <w:sz w:val="21"/>
          <w:szCs w:val="21"/>
        </w:rPr>
        <w:t>Campina das Missões/RS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0E3E89" w:rsidRPr="003347C1" w:rsidRDefault="000E3E89" w:rsidP="000E3E89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0E3E89" w:rsidP="000E3E89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0462F3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1335B6" w:rsidRPr="0008277B">
        <w:rPr>
          <w:rFonts w:ascii="Times New Roman" w:hAnsi="Times New Roman"/>
          <w:b w:val="0"/>
          <w:sz w:val="21"/>
          <w:szCs w:val="21"/>
        </w:rPr>
        <w:t>Aquisição de Materiais para Construção de Ponte na Comunidade Linha do Rio no Município de Porto Xavier</w:t>
      </w:r>
      <w:r w:rsidR="002C76D4">
        <w:rPr>
          <w:rFonts w:ascii="Times New Roman" w:hAnsi="Times New Roman"/>
          <w:b w:val="0"/>
          <w:sz w:val="21"/>
          <w:szCs w:val="21"/>
        </w:rPr>
        <w:t>:</w:t>
      </w:r>
    </w:p>
    <w:p w:rsidR="002C76D4" w:rsidRDefault="002C76D4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130EA" w:rsidRPr="00D4769E" w:rsidRDefault="006130EA" w:rsidP="006130EA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001</w:t>
      </w:r>
      <w:r w:rsidRPr="00D4769E">
        <w:rPr>
          <w:rFonts w:ascii="Times New Roman" w:hAnsi="Times New Roman"/>
          <w:b/>
          <w:sz w:val="21"/>
          <w:szCs w:val="21"/>
        </w:rPr>
        <w:t>;ARAME</w:t>
      </w:r>
      <w:r w:rsidRPr="00D4769E">
        <w:rPr>
          <w:rFonts w:ascii="Times New Roman" w:hAnsi="Times New Roman"/>
          <w:sz w:val="21"/>
          <w:szCs w:val="21"/>
        </w:rPr>
        <w:t xml:space="preserve"> recozido RL – 1kg;04;unidades; </w:t>
      </w:r>
      <w:r>
        <w:rPr>
          <w:rFonts w:ascii="Times New Roman" w:hAnsi="Times New Roman"/>
          <w:sz w:val="21"/>
          <w:szCs w:val="21"/>
        </w:rPr>
        <w:t>R$ 8,80  R$ 35,20</w:t>
      </w:r>
    </w:p>
    <w:p w:rsidR="006130EA" w:rsidRPr="00D4769E" w:rsidRDefault="006130EA" w:rsidP="006130EA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003</w:t>
      </w:r>
      <w:r w:rsidRPr="00D4769E">
        <w:rPr>
          <w:rFonts w:ascii="Times New Roman" w:hAnsi="Times New Roman"/>
          <w:b/>
          <w:sz w:val="21"/>
          <w:szCs w:val="21"/>
        </w:rPr>
        <w:t>;MALHA</w:t>
      </w:r>
      <w:r w:rsidRPr="00D4769E">
        <w:rPr>
          <w:rFonts w:ascii="Times New Roman" w:hAnsi="Times New Roman"/>
          <w:sz w:val="21"/>
          <w:szCs w:val="21"/>
        </w:rPr>
        <w:t xml:space="preserve"> pop, 4.2mm 2,00x3,00m;10;unidade;</w:t>
      </w:r>
      <w:r>
        <w:rPr>
          <w:rFonts w:ascii="Times New Roman" w:hAnsi="Times New Roman"/>
          <w:sz w:val="21"/>
          <w:szCs w:val="21"/>
        </w:rPr>
        <w:t xml:space="preserve"> R$ 47,50  R$ 475,00</w:t>
      </w:r>
    </w:p>
    <w:p w:rsidR="006130EA" w:rsidRPr="00D4769E" w:rsidRDefault="006130EA" w:rsidP="006130EA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004</w:t>
      </w:r>
      <w:r w:rsidRPr="00D4769E">
        <w:rPr>
          <w:rFonts w:ascii="Times New Roman" w:hAnsi="Times New Roman"/>
          <w:b/>
          <w:sz w:val="21"/>
          <w:szCs w:val="21"/>
        </w:rPr>
        <w:t>;PREGO</w:t>
      </w:r>
      <w:r w:rsidRPr="00D4769E">
        <w:rPr>
          <w:rFonts w:ascii="Times New Roman" w:hAnsi="Times New Roman"/>
          <w:sz w:val="21"/>
          <w:szCs w:val="21"/>
        </w:rPr>
        <w:t xml:space="preserve"> 17x27, pacote de 01 kg;03;unidade;</w:t>
      </w:r>
      <w:r>
        <w:rPr>
          <w:rFonts w:ascii="Times New Roman" w:hAnsi="Times New Roman"/>
          <w:sz w:val="21"/>
          <w:szCs w:val="21"/>
        </w:rPr>
        <w:t xml:space="preserve"> R$ 6,60  R$ 19,80</w:t>
      </w:r>
    </w:p>
    <w:p w:rsidR="002C76D4" w:rsidRPr="00AE59BA" w:rsidRDefault="006130EA" w:rsidP="006130EA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005</w:t>
      </w:r>
      <w:r w:rsidRPr="00D4769E">
        <w:rPr>
          <w:rFonts w:ascii="Times New Roman" w:hAnsi="Times New Roman"/>
          <w:sz w:val="21"/>
          <w:szCs w:val="21"/>
        </w:rPr>
        <w:t>;TÁBUA</w:t>
      </w:r>
      <w:r w:rsidRPr="006130EA">
        <w:rPr>
          <w:rFonts w:ascii="Times New Roman" w:hAnsi="Times New Roman"/>
          <w:b w:val="0"/>
          <w:sz w:val="21"/>
          <w:szCs w:val="21"/>
        </w:rPr>
        <w:t xml:space="preserve"> de pinus, 2,5cmx15cmx2,5m;02;duzia; R$ 158,00  R$ 316,00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160C2E">
        <w:rPr>
          <w:rFonts w:ascii="Times New Roman" w:hAnsi="Times New Roman"/>
          <w:sz w:val="21"/>
          <w:szCs w:val="21"/>
        </w:rPr>
        <w:t>31 de julho de 2016</w:t>
      </w:r>
      <w:r w:rsidR="005A6469">
        <w:rPr>
          <w:rFonts w:ascii="Times New Roman" w:hAnsi="Times New Roman"/>
          <w:sz w:val="21"/>
          <w:szCs w:val="21"/>
        </w:rPr>
        <w:t>.</w:t>
      </w:r>
    </w:p>
    <w:p w:rsidR="00DC1985" w:rsidRDefault="009621A5" w:rsidP="009621A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licitante vencedor deverá entregar os materiais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 xml:space="preserve">, junto ao Almoxarifado Municipal, exceto o ítem 002, que deverá ser entregue no local da obra, </w:t>
      </w:r>
      <w:r w:rsidR="00BB52E9">
        <w:rPr>
          <w:rFonts w:ascii="Times New Roman" w:hAnsi="Times New Roman"/>
          <w:sz w:val="21"/>
          <w:szCs w:val="21"/>
        </w:rPr>
        <w:t>em</w:t>
      </w:r>
      <w:r>
        <w:rPr>
          <w:rFonts w:ascii="Times New Roman" w:hAnsi="Times New Roman"/>
          <w:sz w:val="21"/>
          <w:szCs w:val="21"/>
        </w:rPr>
        <w:t xml:space="preserve"> data a combinar com a Secretaria Municipal de Obras e Infraestruturas.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</w:t>
      </w:r>
      <w:r w:rsidR="00BD6A87">
        <w:rPr>
          <w:rFonts w:ascii="Times New Roman" w:hAnsi="Times New Roman"/>
          <w:b w:val="0"/>
          <w:sz w:val="21"/>
          <w:szCs w:val="21"/>
        </w:rPr>
        <w:t xml:space="preserve">e contrato, a importância de R$ </w:t>
      </w:r>
      <w:r w:rsidR="00F3515E">
        <w:rPr>
          <w:rFonts w:ascii="Times New Roman" w:hAnsi="Times New Roman"/>
          <w:b w:val="0"/>
          <w:sz w:val="21"/>
          <w:szCs w:val="21"/>
        </w:rPr>
        <w:t>846,00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F3515E">
        <w:rPr>
          <w:rFonts w:ascii="Times New Roman" w:hAnsi="Times New Roman"/>
          <w:b w:val="0"/>
          <w:sz w:val="21"/>
          <w:szCs w:val="21"/>
        </w:rPr>
        <w:t>Oitocentos e Quarenta e Seis</w:t>
      </w:r>
      <w:r w:rsidR="00BD6A87">
        <w:rPr>
          <w:rFonts w:ascii="Times New Roman" w:hAnsi="Times New Roman"/>
          <w:b w:val="0"/>
          <w:sz w:val="21"/>
          <w:szCs w:val="21"/>
        </w:rPr>
        <w:t xml:space="preserve">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lastRenderedPageBreak/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entregar </w:t>
      </w:r>
      <w:r w:rsidR="00B92FBA">
        <w:rPr>
          <w:rFonts w:ascii="Times New Roman" w:hAnsi="Times New Roman"/>
          <w:sz w:val="21"/>
          <w:szCs w:val="21"/>
        </w:rPr>
        <w:t>os materiais</w:t>
      </w:r>
      <w:r w:rsidRPr="00AE59BA">
        <w:rPr>
          <w:rFonts w:ascii="Times New Roman" w:hAnsi="Times New Roman"/>
          <w:sz w:val="21"/>
          <w:szCs w:val="21"/>
        </w:rPr>
        <w:t xml:space="preserve">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lastRenderedPageBreak/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BB52E9">
        <w:rPr>
          <w:rFonts w:ascii="Times New Roman" w:hAnsi="Times New Roman"/>
          <w:b w:val="0"/>
          <w:sz w:val="21"/>
          <w:szCs w:val="21"/>
        </w:rPr>
        <w:t>20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0F53E8">
        <w:rPr>
          <w:rFonts w:ascii="Times New Roman" w:hAnsi="Times New Roman"/>
          <w:b w:val="0"/>
          <w:sz w:val="21"/>
          <w:szCs w:val="21"/>
        </w:rPr>
        <w:t>6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</w:t>
      </w:r>
      <w:r w:rsidR="0021680E">
        <w:rPr>
          <w:rFonts w:ascii="Times New Roman" w:hAnsi="Times New Roman"/>
          <w:sz w:val="21"/>
          <w:szCs w:val="21"/>
        </w:rPr>
        <w:t xml:space="preserve"> o </w:t>
      </w:r>
      <w:r w:rsidR="00BB52E9">
        <w:rPr>
          <w:rFonts w:ascii="Times New Roman" w:hAnsi="Times New Roman"/>
          <w:sz w:val="21"/>
          <w:szCs w:val="21"/>
        </w:rPr>
        <w:t>Secretário Municipal de Obras e Infrestruturas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4B5537">
        <w:rPr>
          <w:rFonts w:ascii="Times New Roman" w:hAnsi="Times New Roman"/>
          <w:sz w:val="21"/>
          <w:szCs w:val="21"/>
        </w:rPr>
        <w:t>o Servidor Otomar da Rosa (almoxarife)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966F5" w:rsidRDefault="000966F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000565">
        <w:rPr>
          <w:rFonts w:ascii="Times New Roman" w:hAnsi="Times New Roman"/>
          <w:sz w:val="21"/>
          <w:szCs w:val="21"/>
        </w:rPr>
        <w:t>14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000565">
        <w:rPr>
          <w:rFonts w:ascii="Times New Roman" w:hAnsi="Times New Roman"/>
          <w:sz w:val="21"/>
          <w:szCs w:val="21"/>
        </w:rPr>
        <w:t>julho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0F53E8">
        <w:rPr>
          <w:rFonts w:ascii="Times New Roman" w:hAnsi="Times New Roman"/>
          <w:sz w:val="21"/>
          <w:szCs w:val="21"/>
        </w:rPr>
        <w:t>6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966F5" w:rsidRDefault="000966F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966F5" w:rsidRDefault="000966F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966F5" w:rsidRDefault="000966F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966F5" w:rsidRDefault="000966F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00565" w:rsidRDefault="0000056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Pr="003C731C" w:rsidRDefault="005D3CA7" w:rsidP="005D3CA7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PAULO SOMMER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  <w:t>MAURO DIRCEU HAAS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Contratada</w:t>
      </w:r>
    </w:p>
    <w:p w:rsidR="005D3CA7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  <w:t xml:space="preserve">                          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Gestor Contrato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________________________________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C5D71" w:rsidRDefault="005D3CA7" w:rsidP="0093754A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sectPr w:rsidR="00EC5D71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848" w:rsidRDefault="002A6848" w:rsidP="00BC6CBC">
      <w:r>
        <w:separator/>
      </w:r>
    </w:p>
  </w:endnote>
  <w:endnote w:type="continuationSeparator" w:id="1">
    <w:p w:rsidR="002A6848" w:rsidRDefault="002A6848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71" w:rsidRDefault="005D3871" w:rsidP="0041071A">
    <w:pPr>
      <w:pStyle w:val="Rodap"/>
      <w:rPr>
        <w:snapToGrid w:val="0"/>
        <w:sz w:val="16"/>
      </w:rPr>
    </w:pPr>
  </w:p>
  <w:p w:rsidR="005D3871" w:rsidRDefault="005D38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848" w:rsidRDefault="002A6848" w:rsidP="00BC6CBC">
      <w:r>
        <w:separator/>
      </w:r>
    </w:p>
  </w:footnote>
  <w:footnote w:type="continuationSeparator" w:id="1">
    <w:p w:rsidR="002A6848" w:rsidRDefault="002A6848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71" w:rsidRPr="009E7CD1" w:rsidRDefault="005D3871" w:rsidP="0041071A">
    <w:pPr>
      <w:jc w:val="center"/>
      <w:rPr>
        <w:rFonts w:ascii="Arial Narrow" w:eastAsia="MS Mincho" w:hAnsi="Arial Narrow"/>
        <w:i/>
        <w:lang w:eastAsia="ja-JP"/>
      </w:rPr>
    </w:pPr>
  </w:p>
  <w:p w:rsidR="005D3871" w:rsidRDefault="005D387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00565"/>
    <w:rsid w:val="000163C2"/>
    <w:rsid w:val="00016CE3"/>
    <w:rsid w:val="00017303"/>
    <w:rsid w:val="00032D8B"/>
    <w:rsid w:val="0003328E"/>
    <w:rsid w:val="00033926"/>
    <w:rsid w:val="000400C1"/>
    <w:rsid w:val="000416DD"/>
    <w:rsid w:val="000439CF"/>
    <w:rsid w:val="000450A6"/>
    <w:rsid w:val="00053C85"/>
    <w:rsid w:val="000658A2"/>
    <w:rsid w:val="00073B1E"/>
    <w:rsid w:val="000764ED"/>
    <w:rsid w:val="0008277B"/>
    <w:rsid w:val="00087089"/>
    <w:rsid w:val="0009313A"/>
    <w:rsid w:val="000966F5"/>
    <w:rsid w:val="000B2626"/>
    <w:rsid w:val="000B4D0E"/>
    <w:rsid w:val="000C37D5"/>
    <w:rsid w:val="000C6929"/>
    <w:rsid w:val="000D0F7F"/>
    <w:rsid w:val="000D37C6"/>
    <w:rsid w:val="000E3E89"/>
    <w:rsid w:val="000E731C"/>
    <w:rsid w:val="000F185C"/>
    <w:rsid w:val="000F2148"/>
    <w:rsid w:val="000F53E8"/>
    <w:rsid w:val="001071F5"/>
    <w:rsid w:val="00122DD8"/>
    <w:rsid w:val="001335B6"/>
    <w:rsid w:val="00136494"/>
    <w:rsid w:val="00140E74"/>
    <w:rsid w:val="00141586"/>
    <w:rsid w:val="00142594"/>
    <w:rsid w:val="00142D6D"/>
    <w:rsid w:val="001437B8"/>
    <w:rsid w:val="00146D02"/>
    <w:rsid w:val="00160C2E"/>
    <w:rsid w:val="00163A6C"/>
    <w:rsid w:val="00166DC8"/>
    <w:rsid w:val="0017463D"/>
    <w:rsid w:val="00175BE0"/>
    <w:rsid w:val="001809CD"/>
    <w:rsid w:val="00182EBD"/>
    <w:rsid w:val="00191985"/>
    <w:rsid w:val="001919F7"/>
    <w:rsid w:val="00192571"/>
    <w:rsid w:val="00194765"/>
    <w:rsid w:val="001972F2"/>
    <w:rsid w:val="001A3A9E"/>
    <w:rsid w:val="001A44BE"/>
    <w:rsid w:val="001C2D4E"/>
    <w:rsid w:val="001C5A0D"/>
    <w:rsid w:val="001D4131"/>
    <w:rsid w:val="001D69F3"/>
    <w:rsid w:val="001D7A2D"/>
    <w:rsid w:val="001E0984"/>
    <w:rsid w:val="001E4368"/>
    <w:rsid w:val="001E7A1B"/>
    <w:rsid w:val="001F34FF"/>
    <w:rsid w:val="0021680E"/>
    <w:rsid w:val="00220DD6"/>
    <w:rsid w:val="00230313"/>
    <w:rsid w:val="00230D52"/>
    <w:rsid w:val="002438E8"/>
    <w:rsid w:val="00245173"/>
    <w:rsid w:val="00245F1A"/>
    <w:rsid w:val="00247FC6"/>
    <w:rsid w:val="002660D9"/>
    <w:rsid w:val="002761C7"/>
    <w:rsid w:val="00284E86"/>
    <w:rsid w:val="002858FC"/>
    <w:rsid w:val="00286137"/>
    <w:rsid w:val="00295E14"/>
    <w:rsid w:val="00296542"/>
    <w:rsid w:val="002A23D1"/>
    <w:rsid w:val="002A6848"/>
    <w:rsid w:val="002A6F5A"/>
    <w:rsid w:val="002B143C"/>
    <w:rsid w:val="002C76D4"/>
    <w:rsid w:val="002D3610"/>
    <w:rsid w:val="002E3C81"/>
    <w:rsid w:val="002F7FB9"/>
    <w:rsid w:val="00302669"/>
    <w:rsid w:val="003162AD"/>
    <w:rsid w:val="003210B7"/>
    <w:rsid w:val="003258EE"/>
    <w:rsid w:val="0032636E"/>
    <w:rsid w:val="00333676"/>
    <w:rsid w:val="00340DD6"/>
    <w:rsid w:val="003413A3"/>
    <w:rsid w:val="003505C9"/>
    <w:rsid w:val="00351EE7"/>
    <w:rsid w:val="00354A48"/>
    <w:rsid w:val="003664E7"/>
    <w:rsid w:val="00374DC6"/>
    <w:rsid w:val="00385F96"/>
    <w:rsid w:val="00393077"/>
    <w:rsid w:val="00397013"/>
    <w:rsid w:val="00397BB4"/>
    <w:rsid w:val="003A23CA"/>
    <w:rsid w:val="003A7B37"/>
    <w:rsid w:val="003B4BF1"/>
    <w:rsid w:val="003C78E9"/>
    <w:rsid w:val="003D371B"/>
    <w:rsid w:val="003D3EB9"/>
    <w:rsid w:val="003F1EAF"/>
    <w:rsid w:val="003F473E"/>
    <w:rsid w:val="00400B90"/>
    <w:rsid w:val="004037FA"/>
    <w:rsid w:val="00407E9C"/>
    <w:rsid w:val="0041071A"/>
    <w:rsid w:val="0041593E"/>
    <w:rsid w:val="00422903"/>
    <w:rsid w:val="00445886"/>
    <w:rsid w:val="00452DE6"/>
    <w:rsid w:val="004544EE"/>
    <w:rsid w:val="004574A3"/>
    <w:rsid w:val="0046485E"/>
    <w:rsid w:val="00467031"/>
    <w:rsid w:val="004718F1"/>
    <w:rsid w:val="00471A79"/>
    <w:rsid w:val="0047423E"/>
    <w:rsid w:val="00474DA3"/>
    <w:rsid w:val="004807C3"/>
    <w:rsid w:val="00485013"/>
    <w:rsid w:val="00496F2C"/>
    <w:rsid w:val="004A720D"/>
    <w:rsid w:val="004B00C6"/>
    <w:rsid w:val="004B5537"/>
    <w:rsid w:val="004B5B39"/>
    <w:rsid w:val="004C3D28"/>
    <w:rsid w:val="004C6F50"/>
    <w:rsid w:val="004D2F1F"/>
    <w:rsid w:val="004E28F5"/>
    <w:rsid w:val="004E5439"/>
    <w:rsid w:val="004E6DE0"/>
    <w:rsid w:val="004E7603"/>
    <w:rsid w:val="00511332"/>
    <w:rsid w:val="00512A3A"/>
    <w:rsid w:val="0051797C"/>
    <w:rsid w:val="00525724"/>
    <w:rsid w:val="005403A1"/>
    <w:rsid w:val="005431A4"/>
    <w:rsid w:val="00550D06"/>
    <w:rsid w:val="00560061"/>
    <w:rsid w:val="005706D4"/>
    <w:rsid w:val="00586E30"/>
    <w:rsid w:val="00592F8B"/>
    <w:rsid w:val="00595CAD"/>
    <w:rsid w:val="005A6469"/>
    <w:rsid w:val="005A6BB5"/>
    <w:rsid w:val="005B2C45"/>
    <w:rsid w:val="005B2EBE"/>
    <w:rsid w:val="005B4CC3"/>
    <w:rsid w:val="005B6A3D"/>
    <w:rsid w:val="005C3DED"/>
    <w:rsid w:val="005D0451"/>
    <w:rsid w:val="005D0592"/>
    <w:rsid w:val="005D3871"/>
    <w:rsid w:val="005D3CA7"/>
    <w:rsid w:val="005D526D"/>
    <w:rsid w:val="005E025E"/>
    <w:rsid w:val="005F5C34"/>
    <w:rsid w:val="0061104C"/>
    <w:rsid w:val="0061208B"/>
    <w:rsid w:val="006130EA"/>
    <w:rsid w:val="00615553"/>
    <w:rsid w:val="00633149"/>
    <w:rsid w:val="006459EE"/>
    <w:rsid w:val="006601F7"/>
    <w:rsid w:val="00674619"/>
    <w:rsid w:val="0067473A"/>
    <w:rsid w:val="00684552"/>
    <w:rsid w:val="0069181B"/>
    <w:rsid w:val="00691B41"/>
    <w:rsid w:val="006A0819"/>
    <w:rsid w:val="006A413E"/>
    <w:rsid w:val="006A49CE"/>
    <w:rsid w:val="006A4A0C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06370"/>
    <w:rsid w:val="0071519C"/>
    <w:rsid w:val="007167CF"/>
    <w:rsid w:val="00721086"/>
    <w:rsid w:val="00723840"/>
    <w:rsid w:val="007310AE"/>
    <w:rsid w:val="007372F9"/>
    <w:rsid w:val="007467CC"/>
    <w:rsid w:val="00760FBE"/>
    <w:rsid w:val="007635B0"/>
    <w:rsid w:val="0076470D"/>
    <w:rsid w:val="00767622"/>
    <w:rsid w:val="007A378E"/>
    <w:rsid w:val="007A499A"/>
    <w:rsid w:val="007A4CA4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256CF"/>
    <w:rsid w:val="008258FF"/>
    <w:rsid w:val="00834724"/>
    <w:rsid w:val="00837383"/>
    <w:rsid w:val="00837E31"/>
    <w:rsid w:val="008511FC"/>
    <w:rsid w:val="00862EF8"/>
    <w:rsid w:val="0087542F"/>
    <w:rsid w:val="00882B49"/>
    <w:rsid w:val="00886726"/>
    <w:rsid w:val="00897090"/>
    <w:rsid w:val="008A086C"/>
    <w:rsid w:val="008B1EF2"/>
    <w:rsid w:val="008C4DD2"/>
    <w:rsid w:val="008C725C"/>
    <w:rsid w:val="008D1890"/>
    <w:rsid w:val="008E1D36"/>
    <w:rsid w:val="008F7D67"/>
    <w:rsid w:val="00900E01"/>
    <w:rsid w:val="00902955"/>
    <w:rsid w:val="00912B10"/>
    <w:rsid w:val="00916927"/>
    <w:rsid w:val="00920433"/>
    <w:rsid w:val="0092335A"/>
    <w:rsid w:val="0092346F"/>
    <w:rsid w:val="009244AC"/>
    <w:rsid w:val="00924679"/>
    <w:rsid w:val="0092515B"/>
    <w:rsid w:val="00931495"/>
    <w:rsid w:val="00932B9F"/>
    <w:rsid w:val="0093754A"/>
    <w:rsid w:val="0094206D"/>
    <w:rsid w:val="0094630D"/>
    <w:rsid w:val="0095277A"/>
    <w:rsid w:val="009533D9"/>
    <w:rsid w:val="009621A5"/>
    <w:rsid w:val="00965284"/>
    <w:rsid w:val="009820E5"/>
    <w:rsid w:val="00985232"/>
    <w:rsid w:val="0099009D"/>
    <w:rsid w:val="00995A5C"/>
    <w:rsid w:val="009968E6"/>
    <w:rsid w:val="009A1937"/>
    <w:rsid w:val="009A21F3"/>
    <w:rsid w:val="009B7175"/>
    <w:rsid w:val="009B7CB7"/>
    <w:rsid w:val="009C1AD4"/>
    <w:rsid w:val="009C42E5"/>
    <w:rsid w:val="009D3D28"/>
    <w:rsid w:val="009D3DBE"/>
    <w:rsid w:val="009E414C"/>
    <w:rsid w:val="009E47D9"/>
    <w:rsid w:val="009E695A"/>
    <w:rsid w:val="009F454B"/>
    <w:rsid w:val="009F6938"/>
    <w:rsid w:val="00A02828"/>
    <w:rsid w:val="00A04A75"/>
    <w:rsid w:val="00A07652"/>
    <w:rsid w:val="00A126CC"/>
    <w:rsid w:val="00A17F09"/>
    <w:rsid w:val="00A22856"/>
    <w:rsid w:val="00A253EF"/>
    <w:rsid w:val="00A27F64"/>
    <w:rsid w:val="00A315BE"/>
    <w:rsid w:val="00A32F10"/>
    <w:rsid w:val="00A3496B"/>
    <w:rsid w:val="00A40D90"/>
    <w:rsid w:val="00A4552C"/>
    <w:rsid w:val="00A612A0"/>
    <w:rsid w:val="00A62B7F"/>
    <w:rsid w:val="00A6750C"/>
    <w:rsid w:val="00A77217"/>
    <w:rsid w:val="00A876AD"/>
    <w:rsid w:val="00A93E69"/>
    <w:rsid w:val="00A96FF6"/>
    <w:rsid w:val="00AB1599"/>
    <w:rsid w:val="00AB16F5"/>
    <w:rsid w:val="00AB6C92"/>
    <w:rsid w:val="00AC15BC"/>
    <w:rsid w:val="00AD6F62"/>
    <w:rsid w:val="00AE59BA"/>
    <w:rsid w:val="00AE6FAD"/>
    <w:rsid w:val="00AE7BE1"/>
    <w:rsid w:val="00AF71DF"/>
    <w:rsid w:val="00AF7F08"/>
    <w:rsid w:val="00B0505B"/>
    <w:rsid w:val="00B056FD"/>
    <w:rsid w:val="00B0587A"/>
    <w:rsid w:val="00B103B7"/>
    <w:rsid w:val="00B15418"/>
    <w:rsid w:val="00B2321D"/>
    <w:rsid w:val="00B2607D"/>
    <w:rsid w:val="00B26651"/>
    <w:rsid w:val="00B31DE0"/>
    <w:rsid w:val="00B41A27"/>
    <w:rsid w:val="00B47A84"/>
    <w:rsid w:val="00B53501"/>
    <w:rsid w:val="00B56A2F"/>
    <w:rsid w:val="00B5776E"/>
    <w:rsid w:val="00B605F5"/>
    <w:rsid w:val="00B62D62"/>
    <w:rsid w:val="00B63B67"/>
    <w:rsid w:val="00B72B6C"/>
    <w:rsid w:val="00B73740"/>
    <w:rsid w:val="00B741A5"/>
    <w:rsid w:val="00B74D39"/>
    <w:rsid w:val="00B750A7"/>
    <w:rsid w:val="00B751D3"/>
    <w:rsid w:val="00B92FBA"/>
    <w:rsid w:val="00B953A0"/>
    <w:rsid w:val="00B96D5A"/>
    <w:rsid w:val="00BA3341"/>
    <w:rsid w:val="00BB16BB"/>
    <w:rsid w:val="00BB52E9"/>
    <w:rsid w:val="00BB6046"/>
    <w:rsid w:val="00BB76F9"/>
    <w:rsid w:val="00BC4287"/>
    <w:rsid w:val="00BC53CA"/>
    <w:rsid w:val="00BC6CBC"/>
    <w:rsid w:val="00BD12AF"/>
    <w:rsid w:val="00BD34F1"/>
    <w:rsid w:val="00BD6508"/>
    <w:rsid w:val="00BD6A87"/>
    <w:rsid w:val="00BD6E5A"/>
    <w:rsid w:val="00BE14FA"/>
    <w:rsid w:val="00BE1BF6"/>
    <w:rsid w:val="00BE276B"/>
    <w:rsid w:val="00C005A6"/>
    <w:rsid w:val="00C105F2"/>
    <w:rsid w:val="00C20889"/>
    <w:rsid w:val="00C2206E"/>
    <w:rsid w:val="00C236C3"/>
    <w:rsid w:val="00C3145B"/>
    <w:rsid w:val="00C34F94"/>
    <w:rsid w:val="00C62D2E"/>
    <w:rsid w:val="00C6775C"/>
    <w:rsid w:val="00C768E2"/>
    <w:rsid w:val="00C77C28"/>
    <w:rsid w:val="00C77E47"/>
    <w:rsid w:val="00C90F4C"/>
    <w:rsid w:val="00C956EC"/>
    <w:rsid w:val="00C95F03"/>
    <w:rsid w:val="00CA4D46"/>
    <w:rsid w:val="00CB4E3B"/>
    <w:rsid w:val="00CC684A"/>
    <w:rsid w:val="00CD3690"/>
    <w:rsid w:val="00CD7FB3"/>
    <w:rsid w:val="00CE05BC"/>
    <w:rsid w:val="00CE4392"/>
    <w:rsid w:val="00CE4B29"/>
    <w:rsid w:val="00CF1E40"/>
    <w:rsid w:val="00D12ACD"/>
    <w:rsid w:val="00D21CB5"/>
    <w:rsid w:val="00D235D4"/>
    <w:rsid w:val="00D23604"/>
    <w:rsid w:val="00D3204D"/>
    <w:rsid w:val="00D34287"/>
    <w:rsid w:val="00D4769E"/>
    <w:rsid w:val="00D6020F"/>
    <w:rsid w:val="00D65702"/>
    <w:rsid w:val="00D65B71"/>
    <w:rsid w:val="00D65BC1"/>
    <w:rsid w:val="00D74DE1"/>
    <w:rsid w:val="00D8093B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E0F71"/>
    <w:rsid w:val="00DE22FB"/>
    <w:rsid w:val="00DE282F"/>
    <w:rsid w:val="00DE4D68"/>
    <w:rsid w:val="00DE59EE"/>
    <w:rsid w:val="00DF3FFC"/>
    <w:rsid w:val="00DF5E98"/>
    <w:rsid w:val="00DF7617"/>
    <w:rsid w:val="00E0121E"/>
    <w:rsid w:val="00E06F84"/>
    <w:rsid w:val="00E125A3"/>
    <w:rsid w:val="00E151F8"/>
    <w:rsid w:val="00E15B61"/>
    <w:rsid w:val="00E223FA"/>
    <w:rsid w:val="00E34FEC"/>
    <w:rsid w:val="00E447BE"/>
    <w:rsid w:val="00E53F6D"/>
    <w:rsid w:val="00E57A51"/>
    <w:rsid w:val="00E6290F"/>
    <w:rsid w:val="00E83A51"/>
    <w:rsid w:val="00E90044"/>
    <w:rsid w:val="00E9638A"/>
    <w:rsid w:val="00EA0475"/>
    <w:rsid w:val="00EB79C3"/>
    <w:rsid w:val="00EC345A"/>
    <w:rsid w:val="00EC5D71"/>
    <w:rsid w:val="00EC6BC1"/>
    <w:rsid w:val="00ED3E93"/>
    <w:rsid w:val="00ED4684"/>
    <w:rsid w:val="00EF05FA"/>
    <w:rsid w:val="00F13270"/>
    <w:rsid w:val="00F1420D"/>
    <w:rsid w:val="00F2297B"/>
    <w:rsid w:val="00F27153"/>
    <w:rsid w:val="00F317FF"/>
    <w:rsid w:val="00F34108"/>
    <w:rsid w:val="00F3515E"/>
    <w:rsid w:val="00F35EAD"/>
    <w:rsid w:val="00F423E3"/>
    <w:rsid w:val="00F54866"/>
    <w:rsid w:val="00F54CEF"/>
    <w:rsid w:val="00F62144"/>
    <w:rsid w:val="00F76FAF"/>
    <w:rsid w:val="00F827B8"/>
    <w:rsid w:val="00F90030"/>
    <w:rsid w:val="00F96D6D"/>
    <w:rsid w:val="00FA144C"/>
    <w:rsid w:val="00FB0EAF"/>
    <w:rsid w:val="00FB28C2"/>
    <w:rsid w:val="00FC3B6B"/>
    <w:rsid w:val="00FC7403"/>
    <w:rsid w:val="00FD0B20"/>
    <w:rsid w:val="00FD1663"/>
    <w:rsid w:val="00FD3E35"/>
    <w:rsid w:val="00FD3F2F"/>
    <w:rsid w:val="00FD52A2"/>
    <w:rsid w:val="00FE5DE9"/>
    <w:rsid w:val="00FE6DF0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Lauro</cp:lastModifiedBy>
  <cp:revision>5</cp:revision>
  <cp:lastPrinted>2013-07-22T12:04:00Z</cp:lastPrinted>
  <dcterms:created xsi:type="dcterms:W3CDTF">2016-07-14T12:17:00Z</dcterms:created>
  <dcterms:modified xsi:type="dcterms:W3CDTF">2016-07-14T12:18:00Z</dcterms:modified>
</cp:coreProperties>
</file>